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6B228" w14:textId="2DDF5C9E" w:rsidR="001F22BA" w:rsidRPr="00304406" w:rsidRDefault="00450186" w:rsidP="001F22BA">
      <w:pPr>
        <w:spacing w:line="276" w:lineRule="auto"/>
        <w:ind w:left="1710"/>
        <w:jc w:val="both"/>
        <w:rPr>
          <w:rFonts w:ascii="Times New Roman" w:hAnsi="Times New Roman" w:cs="Times New Roman"/>
          <w:lang w:val="es-ES_tradnl"/>
        </w:rPr>
      </w:pPr>
      <w:r w:rsidRPr="00304406">
        <w:rPr>
          <w:rFonts w:ascii="Times New Roman" w:hAnsi="Times New Roman" w:cs="Times New Roman"/>
          <w:lang w:val="es-ES_tradnl"/>
        </w:rPr>
        <w:t>Viernes, 16 de marzo de 2018</w:t>
      </w:r>
    </w:p>
    <w:p w14:paraId="517D76E8" w14:textId="77777777" w:rsidR="001F22BA" w:rsidRPr="00304406" w:rsidRDefault="001F22BA" w:rsidP="001F22BA">
      <w:pPr>
        <w:spacing w:line="276" w:lineRule="auto"/>
        <w:ind w:left="1710"/>
        <w:jc w:val="both"/>
        <w:rPr>
          <w:rFonts w:ascii="Times New Roman" w:hAnsi="Times New Roman" w:cs="Times New Roman"/>
          <w:b/>
          <w:sz w:val="36"/>
          <w:lang w:val="es-ES_tradnl"/>
        </w:rPr>
      </w:pPr>
    </w:p>
    <w:p w14:paraId="55477BF8" w14:textId="73C48720" w:rsidR="001F22BA" w:rsidRPr="00304406" w:rsidRDefault="00450186" w:rsidP="001F22BA">
      <w:pPr>
        <w:spacing w:line="276" w:lineRule="auto"/>
        <w:ind w:left="1710"/>
        <w:jc w:val="center"/>
        <w:rPr>
          <w:rFonts w:ascii="Times New Roman" w:hAnsi="Times New Roman" w:cs="Times New Roman"/>
          <w:b/>
          <w:sz w:val="36"/>
          <w:lang w:val="es-ES_tradnl"/>
        </w:rPr>
      </w:pPr>
      <w:r w:rsidRPr="00304406">
        <w:rPr>
          <w:rFonts w:ascii="Times New Roman" w:hAnsi="Times New Roman" w:cs="Times New Roman"/>
          <w:b/>
          <w:sz w:val="28"/>
          <w:lang w:val="es-ES_tradnl"/>
        </w:rPr>
        <w:t xml:space="preserve">JCA ordena a </w:t>
      </w:r>
      <w:r w:rsidR="00D90D78" w:rsidRPr="00304406">
        <w:rPr>
          <w:rFonts w:ascii="Times New Roman" w:hAnsi="Times New Roman" w:cs="Times New Roman"/>
          <w:b/>
          <w:sz w:val="28"/>
          <w:lang w:val="es-ES_tradnl"/>
        </w:rPr>
        <w:t xml:space="preserve">AES </w:t>
      </w:r>
      <w:r w:rsidRPr="00304406">
        <w:rPr>
          <w:rFonts w:ascii="Times New Roman" w:hAnsi="Times New Roman" w:cs="Times New Roman"/>
          <w:b/>
          <w:sz w:val="28"/>
          <w:lang w:val="es-ES_tradnl"/>
        </w:rPr>
        <w:t>entregar información y documentos del Informe Anual de Monitoreo de Aguas Subterráneas</w:t>
      </w:r>
      <w:r w:rsidR="001F22BA" w:rsidRPr="00304406">
        <w:rPr>
          <w:rFonts w:ascii="Times New Roman" w:hAnsi="Times New Roman" w:cs="Times New Roman"/>
          <w:b/>
          <w:sz w:val="36"/>
          <w:lang w:val="es-ES_tradnl"/>
        </w:rPr>
        <w:t xml:space="preserve"> </w:t>
      </w:r>
    </w:p>
    <w:p w14:paraId="326BC332" w14:textId="7AE7ED00" w:rsidR="001F22BA" w:rsidRPr="00304406" w:rsidRDefault="00450186" w:rsidP="00D90D78">
      <w:pPr>
        <w:spacing w:line="276" w:lineRule="auto"/>
        <w:ind w:left="1710"/>
        <w:jc w:val="center"/>
        <w:rPr>
          <w:rFonts w:asciiTheme="majorHAnsi" w:eastAsiaTheme="minorEastAsia" w:hAnsiTheme="majorHAnsi" w:cs="Arial"/>
          <w:i/>
          <w:iCs/>
          <w:sz w:val="22"/>
          <w:szCs w:val="22"/>
          <w:u w:val="single"/>
          <w:lang w:val="es-ES_tradnl"/>
        </w:rPr>
      </w:pPr>
      <w:r w:rsidRPr="00304406">
        <w:rPr>
          <w:rFonts w:asciiTheme="majorHAnsi" w:eastAsiaTheme="minorEastAsia" w:hAnsiTheme="majorHAnsi" w:cs="Arial"/>
          <w:i/>
          <w:iCs/>
          <w:sz w:val="22"/>
          <w:szCs w:val="22"/>
          <w:u w:val="single"/>
          <w:lang w:val="es-ES_tradnl"/>
        </w:rPr>
        <w:t>Les advierte que podrían reci</w:t>
      </w:r>
      <w:r w:rsidR="00944F1F">
        <w:rPr>
          <w:rFonts w:asciiTheme="majorHAnsi" w:eastAsiaTheme="minorEastAsia" w:hAnsiTheme="majorHAnsi" w:cs="Arial"/>
          <w:i/>
          <w:iCs/>
          <w:sz w:val="22"/>
          <w:szCs w:val="22"/>
          <w:u w:val="single"/>
          <w:lang w:val="es-ES_tradnl"/>
        </w:rPr>
        <w:t>bir multas de $25,000 diarios o</w:t>
      </w:r>
      <w:r w:rsidRPr="00304406">
        <w:rPr>
          <w:rFonts w:asciiTheme="majorHAnsi" w:eastAsiaTheme="minorEastAsia" w:hAnsiTheme="majorHAnsi" w:cs="Arial"/>
          <w:i/>
          <w:iCs/>
          <w:sz w:val="22"/>
          <w:szCs w:val="22"/>
          <w:u w:val="single"/>
          <w:lang w:val="es-ES_tradnl"/>
        </w:rPr>
        <w:t xml:space="preserve"> hasta un cese y desista de operar, si incumplen con la Orden de Hacer emitida por la Junta.</w:t>
      </w:r>
    </w:p>
    <w:p w14:paraId="662F2D7E" w14:textId="77777777" w:rsidR="00685B9E" w:rsidRPr="00304406" w:rsidRDefault="00685B9E" w:rsidP="00D90D78">
      <w:pPr>
        <w:spacing w:line="276" w:lineRule="auto"/>
        <w:ind w:left="1710"/>
        <w:jc w:val="center"/>
        <w:rPr>
          <w:rFonts w:asciiTheme="majorHAnsi" w:eastAsiaTheme="minorEastAsia" w:hAnsiTheme="majorHAnsi" w:cs="Arial"/>
          <w:i/>
          <w:iCs/>
          <w:sz w:val="22"/>
          <w:szCs w:val="22"/>
          <w:u w:val="single"/>
          <w:lang w:val="es-ES_tradnl"/>
        </w:rPr>
      </w:pPr>
    </w:p>
    <w:p w14:paraId="59BE3F60" w14:textId="77777777" w:rsidR="00C0500F" w:rsidRPr="00304406" w:rsidRDefault="00685B9E" w:rsidP="00C0500F">
      <w:pPr>
        <w:widowControl w:val="0"/>
        <w:autoSpaceDE w:val="0"/>
        <w:autoSpaceDN w:val="0"/>
        <w:adjustRightInd w:val="0"/>
        <w:ind w:left="1710"/>
        <w:jc w:val="both"/>
        <w:rPr>
          <w:rFonts w:ascii="Calibri" w:eastAsiaTheme="minorEastAsia" w:hAnsi="Calibri" w:cs="AppleSystemUIFont"/>
          <w:sz w:val="22"/>
          <w:szCs w:val="22"/>
          <w:lang w:val="es-ES_tradnl"/>
        </w:rPr>
      </w:pPr>
      <w:r w:rsidRPr="00304406">
        <w:rPr>
          <w:rFonts w:ascii="Calibri" w:eastAsiaTheme="minorEastAsia" w:hAnsi="Calibri" w:cs="AppleSystemUIFont"/>
          <w:b/>
          <w:sz w:val="22"/>
          <w:lang w:val="es-ES_tradnl"/>
        </w:rPr>
        <w:t xml:space="preserve">San Juan, Puerto Rico </w:t>
      </w:r>
      <w:r w:rsidR="00D90D78" w:rsidRPr="00304406">
        <w:rPr>
          <w:rFonts w:ascii="Calibri" w:eastAsiaTheme="minorEastAsia" w:hAnsi="Calibri" w:cs="AppleSystemUIFont"/>
          <w:sz w:val="22"/>
          <w:lang w:val="es-ES_tradnl"/>
        </w:rPr>
        <w:t xml:space="preserve">- </w:t>
      </w:r>
      <w:r w:rsidR="00450186" w:rsidRPr="00304406">
        <w:rPr>
          <w:rFonts w:ascii="Calibri" w:eastAsiaTheme="minorEastAsia" w:hAnsi="Calibri" w:cs="AppleSystemUIFont"/>
          <w:sz w:val="22"/>
          <w:szCs w:val="22"/>
          <w:lang w:val="es-ES_tradnl"/>
        </w:rPr>
        <w:t>La Junta de Calidad Ambiental (JCA) emitió una Orden de Hacer para requerir de la compañía cogeneradora, AES Puerto Rico, documentos e información sobre el Informe Anual de Monitoreo de Aguas 2017 que, recientemente, les ordenó realizar la Agencia Federal de Protección Ambiental (EPA, por sus siglas en inglés).</w:t>
      </w:r>
    </w:p>
    <w:p w14:paraId="6E191BA5" w14:textId="77777777" w:rsidR="00C0500F" w:rsidRPr="00304406" w:rsidRDefault="00C0500F" w:rsidP="00C0500F">
      <w:pPr>
        <w:widowControl w:val="0"/>
        <w:autoSpaceDE w:val="0"/>
        <w:autoSpaceDN w:val="0"/>
        <w:adjustRightInd w:val="0"/>
        <w:ind w:left="1710"/>
        <w:jc w:val="both"/>
        <w:rPr>
          <w:rFonts w:ascii="Calibri" w:eastAsiaTheme="minorEastAsia" w:hAnsi="Calibri" w:cs="AppleSystemUIFont"/>
          <w:sz w:val="22"/>
          <w:szCs w:val="22"/>
          <w:lang w:val="es-ES_tradnl"/>
        </w:rPr>
      </w:pPr>
    </w:p>
    <w:p w14:paraId="3016AD0E" w14:textId="77777777" w:rsidR="00C0500F" w:rsidRPr="00304406" w:rsidRDefault="00450186" w:rsidP="00C0500F">
      <w:pPr>
        <w:widowControl w:val="0"/>
        <w:autoSpaceDE w:val="0"/>
        <w:autoSpaceDN w:val="0"/>
        <w:adjustRightInd w:val="0"/>
        <w:ind w:left="1710"/>
        <w:jc w:val="both"/>
        <w:rPr>
          <w:rFonts w:ascii="Calibri" w:eastAsiaTheme="minorEastAsia" w:hAnsi="Calibri" w:cs="AppleSystemUIFont"/>
          <w:sz w:val="22"/>
          <w:szCs w:val="22"/>
          <w:lang w:val="es-ES_tradnl"/>
        </w:rPr>
      </w:pPr>
      <w:r w:rsidRPr="00304406">
        <w:rPr>
          <w:rFonts w:ascii="Calibri" w:eastAsiaTheme="minorEastAsia" w:hAnsi="Calibri" w:cs="AppleSystemUIFont"/>
          <w:sz w:val="22"/>
          <w:szCs w:val="22"/>
          <w:lang w:val="es-ES_tradnl"/>
        </w:rPr>
        <w:t>Específicamente, la Orden de Hacer sostiene que la Junta ordena a AES que, en un término de diez (10) días laborables a partir de la notificación de la presente Orden, someta a la consideración de la JCA la siguiente información y/o documentos:</w:t>
      </w:r>
    </w:p>
    <w:p w14:paraId="356DEA2F" w14:textId="77777777" w:rsidR="00C0500F" w:rsidRPr="00304406" w:rsidRDefault="00C0500F" w:rsidP="00C0500F">
      <w:pPr>
        <w:widowControl w:val="0"/>
        <w:autoSpaceDE w:val="0"/>
        <w:autoSpaceDN w:val="0"/>
        <w:adjustRightInd w:val="0"/>
        <w:ind w:left="1710"/>
        <w:jc w:val="both"/>
        <w:rPr>
          <w:rFonts w:ascii="Calibri" w:eastAsiaTheme="minorEastAsia" w:hAnsi="Calibri" w:cs="AppleSystemUIFont"/>
          <w:sz w:val="22"/>
          <w:szCs w:val="22"/>
          <w:lang w:val="es-ES_tradnl"/>
        </w:rPr>
      </w:pPr>
    </w:p>
    <w:p w14:paraId="03FD1E82" w14:textId="77777777" w:rsidR="00C0500F" w:rsidRPr="00304406" w:rsidRDefault="00450186" w:rsidP="0045018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Theme="minorEastAsia" w:hAnsi="Calibri" w:cs="AppleSystemUIFont"/>
          <w:sz w:val="22"/>
          <w:szCs w:val="22"/>
          <w:lang w:val="es-ES_tradnl"/>
        </w:rPr>
      </w:pPr>
      <w:r w:rsidRPr="00304406">
        <w:rPr>
          <w:rFonts w:ascii="Calibri" w:eastAsiaTheme="minorEastAsia" w:hAnsi="Calibri" w:cs="AppleSystemUIFont"/>
          <w:sz w:val="22"/>
          <w:szCs w:val="22"/>
          <w:lang w:val="es-ES_tradnl"/>
        </w:rPr>
        <w:t xml:space="preserve">Copia de los documentos de campo que se generaron durante las actividades de muestreos reportados en el “2017 </w:t>
      </w:r>
      <w:proofErr w:type="spellStart"/>
      <w:r w:rsidRPr="00304406">
        <w:rPr>
          <w:rFonts w:ascii="Calibri" w:eastAsiaTheme="minorEastAsia" w:hAnsi="Calibri" w:cs="AppleSystemUIFont"/>
          <w:sz w:val="22"/>
          <w:szCs w:val="22"/>
          <w:lang w:val="es-ES_tradnl"/>
        </w:rPr>
        <w:t>Annual</w:t>
      </w:r>
      <w:proofErr w:type="spellEnd"/>
      <w:r w:rsidRPr="00304406">
        <w:rPr>
          <w:rFonts w:ascii="Calibri" w:eastAsiaTheme="minorEastAsia" w:hAnsi="Calibri" w:cs="AppleSystemUIFont"/>
          <w:sz w:val="22"/>
          <w:szCs w:val="22"/>
          <w:lang w:val="es-ES_tradnl"/>
        </w:rPr>
        <w:t xml:space="preserve"> </w:t>
      </w:r>
      <w:proofErr w:type="spellStart"/>
      <w:r w:rsidRPr="00304406">
        <w:rPr>
          <w:rFonts w:ascii="Calibri" w:eastAsiaTheme="minorEastAsia" w:hAnsi="Calibri" w:cs="AppleSystemUIFont"/>
          <w:sz w:val="22"/>
          <w:szCs w:val="22"/>
          <w:lang w:val="es-ES_tradnl"/>
        </w:rPr>
        <w:t>Groundwater</w:t>
      </w:r>
      <w:proofErr w:type="spellEnd"/>
      <w:r w:rsidRPr="00304406">
        <w:rPr>
          <w:rFonts w:ascii="Calibri" w:eastAsiaTheme="minorEastAsia" w:hAnsi="Calibri" w:cs="AppleSystemUIFont"/>
          <w:sz w:val="22"/>
          <w:szCs w:val="22"/>
          <w:lang w:val="es-ES_tradnl"/>
        </w:rPr>
        <w:t xml:space="preserve"> </w:t>
      </w:r>
      <w:proofErr w:type="spellStart"/>
      <w:r w:rsidRPr="00304406">
        <w:rPr>
          <w:rFonts w:ascii="Calibri" w:eastAsiaTheme="minorEastAsia" w:hAnsi="Calibri" w:cs="AppleSystemUIFont"/>
          <w:sz w:val="22"/>
          <w:szCs w:val="22"/>
          <w:lang w:val="es-ES_tradnl"/>
        </w:rPr>
        <w:t>Monitorin</w:t>
      </w:r>
      <w:proofErr w:type="spellEnd"/>
      <w:r w:rsidRPr="00304406">
        <w:rPr>
          <w:rFonts w:ascii="Calibri" w:eastAsiaTheme="minorEastAsia" w:hAnsi="Calibri" w:cs="AppleSystemUIFont"/>
          <w:sz w:val="22"/>
          <w:szCs w:val="22"/>
          <w:lang w:val="es-ES_tradnl"/>
        </w:rPr>
        <w:t xml:space="preserve"> </w:t>
      </w:r>
      <w:proofErr w:type="spellStart"/>
      <w:r w:rsidRPr="00304406">
        <w:rPr>
          <w:rFonts w:ascii="Calibri" w:eastAsiaTheme="minorEastAsia" w:hAnsi="Calibri" w:cs="AppleSystemUIFont"/>
          <w:sz w:val="22"/>
          <w:szCs w:val="22"/>
          <w:lang w:val="es-ES_tradnl"/>
        </w:rPr>
        <w:t>Report</w:t>
      </w:r>
      <w:proofErr w:type="spellEnd"/>
      <w:r w:rsidRPr="00304406">
        <w:rPr>
          <w:rFonts w:ascii="Calibri" w:eastAsiaTheme="minorEastAsia" w:hAnsi="Calibri" w:cs="AppleSystemUIFont"/>
          <w:sz w:val="22"/>
          <w:szCs w:val="22"/>
          <w:lang w:val="es-ES_tradnl"/>
        </w:rPr>
        <w:t>”, incluyendo, pero sin limitarse a:</w:t>
      </w:r>
    </w:p>
    <w:p w14:paraId="7AAF120B" w14:textId="77777777" w:rsidR="00C0500F" w:rsidRPr="00304406" w:rsidRDefault="00C0500F" w:rsidP="00C0500F">
      <w:pPr>
        <w:pStyle w:val="ListParagraph"/>
        <w:widowControl w:val="0"/>
        <w:autoSpaceDE w:val="0"/>
        <w:autoSpaceDN w:val="0"/>
        <w:adjustRightInd w:val="0"/>
        <w:ind w:left="2430"/>
        <w:jc w:val="both"/>
        <w:rPr>
          <w:rFonts w:ascii="Calibri" w:eastAsiaTheme="minorEastAsia" w:hAnsi="Calibri" w:cs="AppleSystemUIFont"/>
          <w:sz w:val="22"/>
          <w:szCs w:val="22"/>
          <w:lang w:val="es-ES_tradnl"/>
        </w:rPr>
      </w:pPr>
    </w:p>
    <w:p w14:paraId="342BEB85" w14:textId="77777777" w:rsidR="00C0500F" w:rsidRPr="00304406" w:rsidRDefault="00450186" w:rsidP="00450186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Calibri" w:eastAsiaTheme="minorEastAsia" w:hAnsi="Calibri" w:cs="AppleSystemUIFont"/>
          <w:sz w:val="22"/>
          <w:szCs w:val="22"/>
          <w:lang w:val="es-ES_tradnl"/>
        </w:rPr>
      </w:pPr>
      <w:r w:rsidRPr="00304406">
        <w:rPr>
          <w:rFonts w:ascii="Calibri" w:eastAsiaTheme="minorEastAsia" w:hAnsi="Calibri" w:cs="AppleSystemUIFont"/>
          <w:sz w:val="22"/>
          <w:szCs w:val="22"/>
          <w:lang w:val="es-ES_tradnl"/>
        </w:rPr>
        <w:t>Cadena de custodia para cada una de las muestras tomadas.</w:t>
      </w:r>
    </w:p>
    <w:p w14:paraId="0184F275" w14:textId="2C5B7D7E" w:rsidR="00C0500F" w:rsidRPr="00304406" w:rsidRDefault="00E46216" w:rsidP="00450186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Calibri" w:eastAsiaTheme="minorEastAsia" w:hAnsi="Calibri" w:cs="AppleSystemUIFont"/>
          <w:sz w:val="22"/>
          <w:szCs w:val="22"/>
          <w:lang w:val="es-ES_tradnl"/>
        </w:rPr>
      </w:pPr>
      <w:r>
        <w:rPr>
          <w:rFonts w:ascii="Calibri" w:eastAsiaTheme="minorEastAsia" w:hAnsi="Calibri" w:cs="AppleSystemUIFont"/>
          <w:sz w:val="22"/>
          <w:szCs w:val="22"/>
          <w:lang w:val="es-ES_tradnl"/>
        </w:rPr>
        <w:t>Hoja de campo con datos</w:t>
      </w:r>
      <w:r w:rsidR="00450186" w:rsidRPr="00304406">
        <w:rPr>
          <w:rFonts w:ascii="Calibri" w:eastAsiaTheme="minorEastAsia" w:hAnsi="Calibri" w:cs="AppleSystemUIFont"/>
          <w:sz w:val="22"/>
          <w:szCs w:val="22"/>
          <w:lang w:val="es-ES_tradnl"/>
        </w:rPr>
        <w:t xml:space="preserve"> de “purga” para cada uno de los pozos de monitoreo de los ocho (8) muestreos realizados en el 2017.</w:t>
      </w:r>
    </w:p>
    <w:p w14:paraId="61EF3373" w14:textId="77777777" w:rsidR="00C0500F" w:rsidRPr="00304406" w:rsidRDefault="00450186" w:rsidP="00450186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Calibri" w:eastAsiaTheme="minorEastAsia" w:hAnsi="Calibri" w:cs="AppleSystemUIFont"/>
          <w:sz w:val="22"/>
          <w:szCs w:val="22"/>
          <w:lang w:val="es-ES_tradnl"/>
        </w:rPr>
      </w:pPr>
      <w:r w:rsidRPr="00304406">
        <w:rPr>
          <w:rFonts w:ascii="Calibri" w:eastAsiaTheme="minorEastAsia" w:hAnsi="Calibri" w:cs="AppleSystemUIFont"/>
          <w:sz w:val="22"/>
          <w:szCs w:val="22"/>
          <w:lang w:val="es-ES_tradnl"/>
        </w:rPr>
        <w:t>Documentos de instalación de pozos de monitoreo.</w:t>
      </w:r>
    </w:p>
    <w:p w14:paraId="7F3634A8" w14:textId="77777777" w:rsidR="00C0500F" w:rsidRPr="00304406" w:rsidRDefault="00450186" w:rsidP="00C0500F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Calibri" w:eastAsiaTheme="minorEastAsia" w:hAnsi="Calibri" w:cs="AppleSystemUIFont"/>
          <w:sz w:val="22"/>
          <w:szCs w:val="22"/>
          <w:lang w:val="es-ES_tradnl"/>
        </w:rPr>
      </w:pPr>
      <w:r w:rsidRPr="00304406">
        <w:rPr>
          <w:rFonts w:ascii="Calibri" w:eastAsiaTheme="minorEastAsia" w:hAnsi="Calibri" w:cs="AppleSystemUIFont"/>
          <w:sz w:val="22"/>
          <w:szCs w:val="22"/>
          <w:lang w:val="es-ES_tradnl"/>
        </w:rPr>
        <w:t>Hojas de calibración de los instrumentos utilizados para la medición de parámetros durante la purga de cada pozo.</w:t>
      </w:r>
    </w:p>
    <w:p w14:paraId="5535F54D" w14:textId="77777777" w:rsidR="00C0500F" w:rsidRPr="00304406" w:rsidRDefault="00C0500F" w:rsidP="00C0500F">
      <w:pPr>
        <w:pStyle w:val="ListParagraph"/>
        <w:widowControl w:val="0"/>
        <w:autoSpaceDE w:val="0"/>
        <w:autoSpaceDN w:val="0"/>
        <w:adjustRightInd w:val="0"/>
        <w:ind w:left="3150"/>
        <w:jc w:val="both"/>
        <w:rPr>
          <w:rFonts w:ascii="Calibri" w:eastAsiaTheme="minorEastAsia" w:hAnsi="Calibri" w:cs="AppleSystemUIFont"/>
          <w:sz w:val="22"/>
          <w:szCs w:val="22"/>
          <w:lang w:val="es-ES_tradnl"/>
        </w:rPr>
      </w:pPr>
    </w:p>
    <w:p w14:paraId="4B1396A7" w14:textId="77777777" w:rsidR="00C0500F" w:rsidRPr="00304406" w:rsidRDefault="00450186" w:rsidP="00C050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Theme="minorEastAsia" w:hAnsi="Calibri" w:cs="AppleSystemUIFont"/>
          <w:sz w:val="22"/>
          <w:szCs w:val="22"/>
          <w:lang w:val="es-ES_tradnl"/>
        </w:rPr>
      </w:pPr>
      <w:r w:rsidRPr="00304406">
        <w:rPr>
          <w:rFonts w:ascii="Calibri" w:eastAsiaTheme="minorEastAsia" w:hAnsi="Calibri" w:cs="AppleSystemUIFont"/>
          <w:sz w:val="22"/>
          <w:szCs w:val="22"/>
          <w:lang w:val="es-ES_tradnl"/>
        </w:rPr>
        <w:t>Copia certificada por un Químico Licenciado para practicar la profesión en Puerto Rico, de todos los resultados analíticos de cada recolecta durante los ocho (8) muestreos.</w:t>
      </w:r>
    </w:p>
    <w:p w14:paraId="6205A05F" w14:textId="77777777" w:rsidR="00C0500F" w:rsidRPr="00304406" w:rsidRDefault="00450186" w:rsidP="00C050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Theme="minorEastAsia" w:hAnsi="Calibri" w:cs="AppleSystemUIFont"/>
          <w:sz w:val="22"/>
          <w:szCs w:val="22"/>
          <w:lang w:val="es-ES_tradnl"/>
        </w:rPr>
      </w:pPr>
      <w:r w:rsidRPr="00304406">
        <w:rPr>
          <w:rFonts w:ascii="Calibri" w:eastAsiaTheme="minorEastAsia" w:hAnsi="Calibri" w:cs="AppleSystemUIFont"/>
          <w:sz w:val="22"/>
          <w:szCs w:val="22"/>
          <w:lang w:val="es-ES_tradnl"/>
        </w:rPr>
        <w:t>Data cruda utilizada por el laboratorio que analizó las muestras tomadas.</w:t>
      </w:r>
    </w:p>
    <w:p w14:paraId="4CB5D825" w14:textId="77777777" w:rsidR="00C0500F" w:rsidRPr="00304406" w:rsidRDefault="00450186" w:rsidP="00C050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Theme="minorEastAsia" w:hAnsi="Calibri" w:cs="AppleSystemUIFont"/>
          <w:sz w:val="22"/>
          <w:szCs w:val="22"/>
          <w:lang w:val="es-ES_tradnl"/>
        </w:rPr>
      </w:pPr>
      <w:r w:rsidRPr="00304406">
        <w:rPr>
          <w:rFonts w:ascii="Calibri" w:eastAsiaTheme="minorEastAsia" w:hAnsi="Calibri" w:cs="AppleSystemUIFont"/>
          <w:sz w:val="22"/>
          <w:szCs w:val="22"/>
          <w:lang w:val="es-ES_tradnl"/>
        </w:rPr>
        <w:t>Análisis estadísticos de los resultados analíticos de los ocho (8) muestreos.</w:t>
      </w:r>
    </w:p>
    <w:p w14:paraId="079D24C4" w14:textId="77777777" w:rsidR="00C0500F" w:rsidRPr="00304406" w:rsidRDefault="00450186" w:rsidP="00C050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Theme="minorEastAsia" w:hAnsi="Calibri" w:cs="AppleSystemUIFont"/>
          <w:sz w:val="22"/>
          <w:szCs w:val="22"/>
          <w:lang w:val="es-ES_tradnl"/>
        </w:rPr>
      </w:pPr>
      <w:r w:rsidRPr="00304406">
        <w:rPr>
          <w:rFonts w:ascii="Calibri" w:eastAsiaTheme="minorEastAsia" w:hAnsi="Calibri" w:cs="AppleSystemUIFont"/>
          <w:sz w:val="22"/>
          <w:szCs w:val="22"/>
          <w:lang w:val="es-ES_tradnl"/>
        </w:rPr>
        <w:t>Criterios y/o aspectos tomados en consideración para seleccionar la ubicación de los pozos de trasfondo.</w:t>
      </w:r>
    </w:p>
    <w:p w14:paraId="3F65D312" w14:textId="77777777" w:rsidR="00C0500F" w:rsidRPr="00304406" w:rsidRDefault="00450186" w:rsidP="00C050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Theme="minorEastAsia" w:hAnsi="Calibri" w:cs="AppleSystemUIFont"/>
          <w:sz w:val="22"/>
          <w:szCs w:val="22"/>
          <w:lang w:val="es-ES_tradnl"/>
        </w:rPr>
      </w:pPr>
      <w:r w:rsidRPr="00304406">
        <w:rPr>
          <w:rFonts w:ascii="Calibri" w:eastAsiaTheme="minorEastAsia" w:hAnsi="Calibri" w:cs="AppleSystemUIFont"/>
          <w:sz w:val="22"/>
          <w:szCs w:val="22"/>
          <w:lang w:val="es-ES_tradnl"/>
        </w:rPr>
        <w:t>Plan de muestreo del agua subterránea para evaluación y aprobación de la JCA.</w:t>
      </w:r>
    </w:p>
    <w:p w14:paraId="3EC6390B" w14:textId="77777777" w:rsidR="00450186" w:rsidRPr="00304406" w:rsidRDefault="00450186" w:rsidP="00450186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AppleSystemUIFont"/>
          <w:sz w:val="22"/>
          <w:szCs w:val="22"/>
          <w:lang w:val="es-ES_tradnl"/>
        </w:rPr>
      </w:pPr>
    </w:p>
    <w:p w14:paraId="768147C2" w14:textId="4EE31241" w:rsidR="00C0500F" w:rsidRPr="00304406" w:rsidRDefault="00450186" w:rsidP="00C0500F">
      <w:pPr>
        <w:widowControl w:val="0"/>
        <w:autoSpaceDE w:val="0"/>
        <w:autoSpaceDN w:val="0"/>
        <w:adjustRightInd w:val="0"/>
        <w:ind w:left="1710"/>
        <w:jc w:val="both"/>
        <w:rPr>
          <w:rFonts w:ascii="Calibri" w:eastAsiaTheme="minorEastAsia" w:hAnsi="Calibri" w:cs="AppleSystemUIFont"/>
          <w:sz w:val="22"/>
          <w:szCs w:val="22"/>
          <w:lang w:val="es-ES_tradnl"/>
        </w:rPr>
      </w:pPr>
      <w:r w:rsidRPr="00304406">
        <w:rPr>
          <w:rFonts w:ascii="Calibri" w:eastAsiaTheme="minorEastAsia" w:hAnsi="Calibri" w:cs="AppleSystemUIFont"/>
          <w:sz w:val="22"/>
          <w:szCs w:val="22"/>
          <w:lang w:val="es-ES_tradnl"/>
        </w:rPr>
        <w:t>La directora ejecutiva de la Junta de Calidad Ambiental (JCA), Lcda. Tania Vázquez Rivera, firmó dicha Orden emitida por la Junta, y le advirtió a AES Puerto Rico que “el incumplimiento de esta podría conllevar multas ascendente</w:t>
      </w:r>
      <w:r w:rsidR="00A217E4">
        <w:rPr>
          <w:rFonts w:ascii="Calibri" w:eastAsiaTheme="minorEastAsia" w:hAnsi="Calibri" w:cs="AppleSystemUIFont"/>
          <w:sz w:val="22"/>
          <w:szCs w:val="22"/>
          <w:lang w:val="es-ES_tradnl"/>
        </w:rPr>
        <w:t>s a $25,000 diarios, así como la emisión de un</w:t>
      </w:r>
      <w:r w:rsidRPr="00304406">
        <w:rPr>
          <w:rFonts w:ascii="Calibri" w:eastAsiaTheme="minorEastAsia" w:hAnsi="Calibri" w:cs="AppleSystemUIFont"/>
          <w:sz w:val="22"/>
          <w:szCs w:val="22"/>
          <w:lang w:val="es-ES_tradnl"/>
        </w:rPr>
        <w:t xml:space="preserve"> CESE Y DESISTA DE OPERAR.”</w:t>
      </w:r>
    </w:p>
    <w:p w14:paraId="2AC59377" w14:textId="77777777" w:rsidR="00C0500F" w:rsidRPr="00304406" w:rsidRDefault="00C0500F" w:rsidP="00C0500F">
      <w:pPr>
        <w:widowControl w:val="0"/>
        <w:autoSpaceDE w:val="0"/>
        <w:autoSpaceDN w:val="0"/>
        <w:adjustRightInd w:val="0"/>
        <w:ind w:left="1710"/>
        <w:jc w:val="both"/>
        <w:rPr>
          <w:rFonts w:ascii="Calibri" w:eastAsiaTheme="minorEastAsia" w:hAnsi="Calibri" w:cs="AppleSystemUIFont"/>
          <w:sz w:val="22"/>
          <w:szCs w:val="22"/>
          <w:lang w:val="es-ES_tradnl"/>
        </w:rPr>
      </w:pPr>
    </w:p>
    <w:p w14:paraId="3845C0D2" w14:textId="46D91197" w:rsidR="003865C4" w:rsidRPr="00304406" w:rsidRDefault="00450186" w:rsidP="003865C4">
      <w:pPr>
        <w:widowControl w:val="0"/>
        <w:autoSpaceDE w:val="0"/>
        <w:autoSpaceDN w:val="0"/>
        <w:adjustRightInd w:val="0"/>
        <w:ind w:left="1710"/>
        <w:jc w:val="both"/>
        <w:rPr>
          <w:rFonts w:ascii="Calibri" w:eastAsiaTheme="minorEastAsia" w:hAnsi="Calibri" w:cs="AppleSystemUIFont"/>
          <w:sz w:val="22"/>
          <w:szCs w:val="22"/>
          <w:lang w:val="es-ES_tradnl"/>
        </w:rPr>
      </w:pPr>
      <w:r w:rsidRPr="00304406">
        <w:rPr>
          <w:rFonts w:ascii="Calibri" w:eastAsiaTheme="minorEastAsia" w:hAnsi="Calibri" w:cs="AppleSystemUIFont"/>
          <w:sz w:val="22"/>
          <w:szCs w:val="22"/>
          <w:lang w:val="es-ES_tradnl"/>
        </w:rPr>
        <w:t>Finalmente, Váz</w:t>
      </w:r>
      <w:r w:rsidR="007C35EA" w:rsidRPr="00304406">
        <w:rPr>
          <w:rFonts w:ascii="Calibri" w:eastAsiaTheme="minorEastAsia" w:hAnsi="Calibri" w:cs="AppleSystemUIFont"/>
          <w:sz w:val="22"/>
          <w:szCs w:val="22"/>
          <w:lang w:val="es-ES_tradnl"/>
        </w:rPr>
        <w:t>quez Rivera aseguró que “</w:t>
      </w:r>
      <w:r w:rsidR="002A59A2">
        <w:rPr>
          <w:rFonts w:ascii="Calibri" w:eastAsiaTheme="minorEastAsia" w:hAnsi="Calibri" w:cs="AppleSystemUIFont"/>
          <w:sz w:val="22"/>
          <w:szCs w:val="22"/>
          <w:lang w:val="es-ES_tradnl"/>
        </w:rPr>
        <w:t xml:space="preserve">las fuentes de agua potable de la Autoridad de Acueductos y Alcantarillados, así como las de pozos </w:t>
      </w:r>
      <w:r w:rsidR="00F928D6">
        <w:rPr>
          <w:rFonts w:ascii="Calibri" w:eastAsiaTheme="minorEastAsia" w:hAnsi="Calibri" w:cs="AppleSystemUIFont"/>
          <w:sz w:val="22"/>
          <w:szCs w:val="22"/>
          <w:lang w:val="es-ES_tradnl"/>
        </w:rPr>
        <w:t xml:space="preserve">legalmente </w:t>
      </w:r>
      <w:r w:rsidR="002A59A2">
        <w:rPr>
          <w:rFonts w:ascii="Calibri" w:eastAsiaTheme="minorEastAsia" w:hAnsi="Calibri" w:cs="AppleSystemUIFont"/>
          <w:sz w:val="22"/>
          <w:szCs w:val="22"/>
          <w:lang w:val="es-ES_tradnl"/>
        </w:rPr>
        <w:t xml:space="preserve">hincados en todo Puerto Rico, tienen que cumplir con los </w:t>
      </w:r>
      <w:r w:rsidR="007A5053">
        <w:rPr>
          <w:rFonts w:ascii="Calibri" w:eastAsiaTheme="minorEastAsia" w:hAnsi="Calibri" w:cs="AppleSystemUIFont"/>
          <w:sz w:val="22"/>
          <w:szCs w:val="22"/>
          <w:lang w:val="es-ES_tradnl"/>
        </w:rPr>
        <w:t xml:space="preserve">más altos </w:t>
      </w:r>
      <w:r w:rsidR="002A59A2">
        <w:rPr>
          <w:rFonts w:ascii="Calibri" w:eastAsiaTheme="minorEastAsia" w:hAnsi="Calibri" w:cs="AppleSystemUIFont"/>
          <w:sz w:val="22"/>
          <w:szCs w:val="22"/>
          <w:lang w:val="es-ES_tradnl"/>
        </w:rPr>
        <w:t xml:space="preserve">estándares de calidad de agua federal. </w:t>
      </w:r>
      <w:r w:rsidR="000C5593">
        <w:rPr>
          <w:rFonts w:ascii="Calibri" w:eastAsiaTheme="minorEastAsia" w:hAnsi="Calibri" w:cs="AppleSystemUIFont"/>
          <w:sz w:val="22"/>
          <w:szCs w:val="22"/>
          <w:lang w:val="es-ES_tradnl"/>
        </w:rPr>
        <w:t xml:space="preserve">En otras palabras, si se consume agua de una fuente legal, que cumpla con las pruebas que, por ley, se tienen que realizar periódicamente, </w:t>
      </w:r>
      <w:r w:rsidR="003865C4">
        <w:rPr>
          <w:rFonts w:ascii="Calibri" w:eastAsiaTheme="minorEastAsia" w:hAnsi="Calibri" w:cs="AppleSystemUIFont"/>
          <w:sz w:val="22"/>
          <w:szCs w:val="22"/>
          <w:lang w:val="es-ES_tradnl"/>
        </w:rPr>
        <w:t xml:space="preserve">no </w:t>
      </w:r>
      <w:r w:rsidR="00F928D6">
        <w:rPr>
          <w:rFonts w:ascii="Calibri" w:eastAsiaTheme="minorEastAsia" w:hAnsi="Calibri" w:cs="AppleSystemUIFont"/>
          <w:sz w:val="22"/>
          <w:szCs w:val="22"/>
          <w:lang w:val="es-ES_tradnl"/>
        </w:rPr>
        <w:t xml:space="preserve">hay </w:t>
      </w:r>
      <w:bookmarkStart w:id="0" w:name="_GoBack"/>
      <w:bookmarkEnd w:id="0"/>
      <w:r w:rsidR="003865C4">
        <w:rPr>
          <w:rFonts w:ascii="Calibri" w:eastAsiaTheme="minorEastAsia" w:hAnsi="Calibri" w:cs="AppleSystemUIFont"/>
          <w:sz w:val="22"/>
          <w:szCs w:val="22"/>
          <w:lang w:val="es-ES_tradnl"/>
        </w:rPr>
        <w:t>riesgos para la salud de la ciudadanía. Por eso es importante asegurarse de que el agua que se consume es la suministrada por la AAA, o aquella que provenga de pozos legales, que cumplan con el monitoreo que garantiza esa calidad del preciado líquido.”</w:t>
      </w:r>
    </w:p>
    <w:p w14:paraId="1436EB62" w14:textId="2A57EE38" w:rsidR="000A1270" w:rsidRPr="00304406" w:rsidRDefault="000A1270" w:rsidP="008136F2">
      <w:pPr>
        <w:widowControl w:val="0"/>
        <w:autoSpaceDE w:val="0"/>
        <w:autoSpaceDN w:val="0"/>
        <w:adjustRightInd w:val="0"/>
        <w:ind w:left="1710"/>
        <w:jc w:val="both"/>
        <w:rPr>
          <w:rFonts w:ascii="Calibri" w:eastAsiaTheme="minorEastAsia" w:hAnsi="Calibri" w:cs="AppleSystemUIFont"/>
          <w:sz w:val="22"/>
          <w:szCs w:val="22"/>
          <w:lang w:val="es-ES_tradnl"/>
        </w:rPr>
      </w:pPr>
    </w:p>
    <w:sectPr w:rsidR="000A1270" w:rsidRPr="00304406" w:rsidSect="00761617">
      <w:headerReference w:type="default" r:id="rId8"/>
      <w:footerReference w:type="default" r:id="rId9"/>
      <w:pgSz w:w="12240" w:h="15840"/>
      <w:pgMar w:top="2439" w:right="1440" w:bottom="1440" w:left="1440" w:header="720" w:footer="10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BB4ED" w14:textId="77777777" w:rsidR="004224D9" w:rsidRDefault="004224D9" w:rsidP="001F22BA">
      <w:r>
        <w:separator/>
      </w:r>
    </w:p>
  </w:endnote>
  <w:endnote w:type="continuationSeparator" w:id="0">
    <w:p w14:paraId="5B442757" w14:textId="77777777" w:rsidR="004224D9" w:rsidRDefault="004224D9" w:rsidP="001F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Blac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15F70" w14:textId="3B8B1B9B" w:rsidR="004224D9" w:rsidRPr="003E27DF" w:rsidRDefault="004224D9" w:rsidP="00761617">
    <w:pPr>
      <w:pStyle w:val="Footer"/>
      <w:jc w:val="center"/>
      <w:rPr>
        <w:rFonts w:ascii="Times New Roman" w:hAnsi="Times New Roman" w:cs="Times New Roman"/>
        <w:spacing w:val="20"/>
        <w:sz w:val="22"/>
        <w:lang w:val="es-ES_tradnl"/>
      </w:rPr>
    </w:pPr>
    <w:r>
      <w:rPr>
        <w:rFonts w:ascii="Times New Roman" w:hAnsi="Times New Roman" w:cs="Times New Roman"/>
        <w:noProof/>
        <w:color w:val="948A54" w:themeColor="background2" w:themeShade="80"/>
        <w:spacing w:val="20"/>
        <w:sz w:val="22"/>
      </w:rPr>
      <w:drawing>
        <wp:anchor distT="0" distB="0" distL="114300" distR="114300" simplePos="0" relativeHeight="251663360" behindDoc="0" locked="0" layoutInCell="1" allowOverlap="1" wp14:anchorId="2054A402" wp14:editId="6CBB3EED">
          <wp:simplePos x="0" y="0"/>
          <wp:positionH relativeFrom="column">
            <wp:posOffset>5372100</wp:posOffset>
          </wp:positionH>
          <wp:positionV relativeFrom="paragraph">
            <wp:posOffset>-113030</wp:posOffset>
          </wp:positionV>
          <wp:extent cx="429895" cy="429895"/>
          <wp:effectExtent l="0" t="0" r="190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196" cy="430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7DF">
      <w:rPr>
        <w:rFonts w:ascii="Times New Roman" w:hAnsi="Times New Roman" w:cs="Times New Roman"/>
        <w:noProof/>
        <w:color w:val="948A54" w:themeColor="background2" w:themeShade="80"/>
        <w:spacing w:val="20"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A3D190" wp14:editId="3CAB4905">
              <wp:simplePos x="0" y="0"/>
              <wp:positionH relativeFrom="column">
                <wp:posOffset>1024890</wp:posOffset>
              </wp:positionH>
              <wp:positionV relativeFrom="paragraph">
                <wp:posOffset>-58420</wp:posOffset>
              </wp:positionV>
              <wp:extent cx="4690110" cy="0"/>
              <wp:effectExtent l="0" t="0" r="3429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9011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7pt,-4.55pt" to="450pt,-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" strokecolor="gray [1629]"/>
          </w:pict>
        </mc:Fallback>
      </mc:AlternateContent>
    </w:r>
    <w:r>
      <w:rPr>
        <w:rFonts w:ascii="Times New Roman" w:hAnsi="Times New Roman" w:cs="Times New Roman"/>
        <w:color w:val="808080" w:themeColor="background1" w:themeShade="80"/>
        <w:spacing w:val="20"/>
        <w:sz w:val="16"/>
        <w:lang w:val="es-ES_tradnl"/>
      </w:rPr>
      <w:t xml:space="preserve">              </w:t>
    </w:r>
    <w:r w:rsidRPr="005E4B16">
      <w:rPr>
        <w:rFonts w:ascii="Times New Roman" w:hAnsi="Times New Roman" w:cs="Times New Roman"/>
        <w:color w:val="808080" w:themeColor="background1" w:themeShade="80"/>
        <w:spacing w:val="20"/>
        <w:sz w:val="16"/>
        <w:lang w:val="es-ES_tradnl"/>
      </w:rPr>
      <w:t xml:space="preserve"> </w:t>
    </w:r>
    <w:r w:rsidRPr="00070C89">
      <w:rPr>
        <w:rFonts w:ascii="Times New Roman" w:hAnsi="Times New Roman" w:cs="Times New Roman"/>
        <w:color w:val="808080" w:themeColor="background1" w:themeShade="80"/>
        <w:spacing w:val="20"/>
        <w:sz w:val="16"/>
        <w:lang w:val="es-ES_tradnl"/>
      </w:rPr>
      <w:t xml:space="preserve">Juan José Díaz </w:t>
    </w:r>
    <w:proofErr w:type="spellStart"/>
    <w:r w:rsidRPr="00070C89">
      <w:rPr>
        <w:rFonts w:ascii="Times New Roman" w:hAnsi="Times New Roman" w:cs="Times New Roman"/>
        <w:color w:val="808080" w:themeColor="background1" w:themeShade="80"/>
        <w:spacing w:val="20"/>
        <w:sz w:val="16"/>
        <w:lang w:val="es-ES_tradnl"/>
      </w:rPr>
      <w:t>Díaz</w:t>
    </w:r>
    <w:proofErr w:type="spellEnd"/>
    <w:r w:rsidRPr="00070C89">
      <w:rPr>
        <w:rFonts w:ascii="Times New Roman" w:hAnsi="Times New Roman" w:cs="Times New Roman"/>
        <w:color w:val="808080" w:themeColor="background1" w:themeShade="80"/>
        <w:spacing w:val="20"/>
        <w:sz w:val="16"/>
        <w:lang w:val="es-ES_tradnl"/>
      </w:rPr>
      <w:t xml:space="preserve"> </w:t>
    </w:r>
    <w:r w:rsidRPr="00070C89">
      <w:rPr>
        <w:rFonts w:ascii="Times New Roman" w:hAnsi="Times New Roman" w:cs="Times New Roman"/>
        <w:color w:val="8064A2" w:themeColor="accent4"/>
        <w:spacing w:val="20"/>
        <w:sz w:val="16"/>
        <w:lang w:val="es-ES_tradnl"/>
      </w:rPr>
      <w:t xml:space="preserve"> •  </w:t>
    </w:r>
    <w:r w:rsidRPr="00070C89">
      <w:rPr>
        <w:rFonts w:ascii="Times New Roman" w:hAnsi="Times New Roman" w:cs="Times New Roman"/>
        <w:color w:val="808080" w:themeColor="background1" w:themeShade="80"/>
        <w:spacing w:val="20"/>
        <w:sz w:val="16"/>
        <w:lang w:val="es-ES_tradnl"/>
      </w:rPr>
      <w:t>(787) 475-4443</w:t>
    </w:r>
    <w:r w:rsidRPr="003E27DF">
      <w:rPr>
        <w:rFonts w:ascii="Times New Roman" w:hAnsi="Times New Roman" w:cs="Times New Roman"/>
        <w:color w:val="948A54" w:themeColor="background2" w:themeShade="80"/>
        <w:spacing w:val="20"/>
        <w:sz w:val="22"/>
        <w:lang w:val="es-ES_tradnl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3C0B0" w14:textId="77777777" w:rsidR="004224D9" w:rsidRDefault="004224D9" w:rsidP="001F22BA">
      <w:r>
        <w:separator/>
      </w:r>
    </w:p>
  </w:footnote>
  <w:footnote w:type="continuationSeparator" w:id="0">
    <w:p w14:paraId="55FE0446" w14:textId="77777777" w:rsidR="004224D9" w:rsidRDefault="004224D9" w:rsidP="001F22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A9151" w14:textId="77777777" w:rsidR="004224D9" w:rsidRPr="003E27DF" w:rsidRDefault="004224D9" w:rsidP="00761617">
    <w:pPr>
      <w:pStyle w:val="Header"/>
      <w:ind w:left="1710"/>
      <w:rPr>
        <w:rFonts w:ascii="Times New Roman" w:hAnsi="Times New Roman" w:cs="Times New Roman"/>
        <w:spacing w:val="20"/>
        <w:sz w:val="28"/>
        <w:lang w:val="es-ES_tradnl"/>
      </w:rPr>
    </w:pPr>
    <w:r w:rsidRPr="003E27DF">
      <w:rPr>
        <w:noProof/>
      </w:rPr>
      <w:drawing>
        <wp:anchor distT="0" distB="0" distL="114300" distR="114300" simplePos="0" relativeHeight="251659264" behindDoc="1" locked="0" layoutInCell="1" allowOverlap="1" wp14:anchorId="0D4EC19B" wp14:editId="21661128">
          <wp:simplePos x="0" y="0"/>
          <wp:positionH relativeFrom="column">
            <wp:posOffset>-62230</wp:posOffset>
          </wp:positionH>
          <wp:positionV relativeFrom="paragraph">
            <wp:posOffset>-52705</wp:posOffset>
          </wp:positionV>
          <wp:extent cx="1080135" cy="1080135"/>
          <wp:effectExtent l="0" t="0" r="12065" b="1206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LO GOBIERNO DE PUERTO RIC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F5B270" w14:textId="77777777" w:rsidR="004224D9" w:rsidRPr="003E27DF" w:rsidRDefault="004224D9" w:rsidP="00761617">
    <w:pPr>
      <w:pStyle w:val="Header"/>
      <w:ind w:left="1710"/>
      <w:rPr>
        <w:color w:val="808080" w:themeColor="background1" w:themeShade="80"/>
        <w:lang w:val="es-ES_tradnl"/>
      </w:rPr>
    </w:pPr>
    <w:r w:rsidRPr="003E27DF">
      <w:rPr>
        <w:rFonts w:ascii="Times New Roman" w:hAnsi="Times New Roman" w:cs="Times New Roman"/>
        <w:color w:val="808080" w:themeColor="background1" w:themeShade="80"/>
        <w:spacing w:val="20"/>
        <w:sz w:val="28"/>
        <w:lang w:val="es-ES_tradnl"/>
      </w:rPr>
      <w:t>GOBIERNO DE PUERTO RICO</w:t>
    </w:r>
  </w:p>
  <w:p w14:paraId="60CB1647" w14:textId="77777777" w:rsidR="004224D9" w:rsidRPr="003E27DF" w:rsidRDefault="004224D9" w:rsidP="00761617">
    <w:pPr>
      <w:pStyle w:val="Header"/>
      <w:ind w:left="1800" w:hanging="90"/>
      <w:rPr>
        <w:rFonts w:ascii="Times New Roman" w:hAnsi="Times New Roman" w:cs="Times New Roman"/>
        <w:color w:val="808080" w:themeColor="background1" w:themeShade="80"/>
        <w:spacing w:val="20"/>
        <w:sz w:val="21"/>
        <w:lang w:val="es-ES_tradnl"/>
      </w:rPr>
    </w:pPr>
    <w:r w:rsidRPr="003E27DF">
      <w:rPr>
        <w:rFonts w:ascii="Times New Roman" w:hAnsi="Times New Roman" w:cs="Times New Roman"/>
        <w:noProof/>
        <w:color w:val="808080" w:themeColor="background1" w:themeShade="80"/>
        <w:spacing w:val="20"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ACE7B2" wp14:editId="7B419265">
              <wp:simplePos x="0" y="0"/>
              <wp:positionH relativeFrom="column">
                <wp:posOffset>1080135</wp:posOffset>
              </wp:positionH>
              <wp:positionV relativeFrom="paragraph">
                <wp:posOffset>50800</wp:posOffset>
              </wp:positionV>
              <wp:extent cx="4914900" cy="0"/>
              <wp:effectExtent l="0" t="0" r="127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05pt,4pt" to="472.05pt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" strokecolor="#7f7f7f [1612]"/>
          </w:pict>
        </mc:Fallback>
      </mc:AlternateContent>
    </w:r>
    <w:r w:rsidRPr="003E27DF">
      <w:rPr>
        <w:rFonts w:ascii="Times New Roman" w:hAnsi="Times New Roman" w:cs="Times New Roman"/>
        <w:color w:val="808080" w:themeColor="background1" w:themeShade="80"/>
        <w:spacing w:val="20"/>
        <w:sz w:val="28"/>
        <w:lang w:val="es-ES_tradnl"/>
      </w:rPr>
      <w:t xml:space="preserve"> </w:t>
    </w:r>
    <w:r w:rsidRPr="003E27DF">
      <w:rPr>
        <w:rFonts w:ascii="Times New Roman" w:hAnsi="Times New Roman" w:cs="Times New Roman"/>
        <w:color w:val="808080" w:themeColor="background1" w:themeShade="80"/>
        <w:spacing w:val="20"/>
        <w:sz w:val="22"/>
        <w:lang w:val="es-ES_tradnl"/>
      </w:rPr>
      <w:t xml:space="preserve"> </w:t>
    </w:r>
  </w:p>
  <w:p w14:paraId="6A228658" w14:textId="77777777" w:rsidR="004224D9" w:rsidRPr="00322635" w:rsidRDefault="004224D9" w:rsidP="00761617">
    <w:pPr>
      <w:pStyle w:val="Header"/>
      <w:ind w:left="1800" w:hanging="90"/>
      <w:rPr>
        <w:rFonts w:ascii="Calibri" w:hAnsi="Calibri" w:cs="Times New Roman"/>
        <w:color w:val="808080" w:themeColor="background1" w:themeShade="80"/>
        <w:spacing w:val="20"/>
        <w:lang w:val="es-ES_tradnl"/>
      </w:rPr>
    </w:pPr>
    <w:r w:rsidRPr="003E27DF">
      <w:rPr>
        <w:rFonts w:ascii="Calibri" w:hAnsi="Calibri" w:cs="Times New Roman"/>
        <w:noProof/>
        <w:color w:val="808080" w:themeColor="background1" w:themeShade="80"/>
        <w:spacing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9A1AC3" wp14:editId="3C017E3C">
              <wp:simplePos x="0" y="0"/>
              <wp:positionH relativeFrom="column">
                <wp:posOffset>-520065</wp:posOffset>
              </wp:positionH>
              <wp:positionV relativeFrom="paragraph">
                <wp:posOffset>583565</wp:posOffset>
              </wp:positionV>
              <wp:extent cx="1257300" cy="7543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7543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1D1824" w14:textId="77777777" w:rsidR="004224D9" w:rsidRPr="004E4E55" w:rsidRDefault="004224D9" w:rsidP="00761617">
                          <w:pPr>
                            <w:rPr>
                              <w:rFonts w:ascii="Gotham Black" w:hAnsi="Gotham Black"/>
                              <w:color w:val="DDD9C3" w:themeColor="background2" w:themeShade="E6"/>
                              <w:spacing w:val="80"/>
                              <w:sz w:val="72"/>
                              <w:szCs w:val="66"/>
                            </w:rPr>
                          </w:pPr>
                          <w:r w:rsidRPr="004E4E55">
                            <w:rPr>
                              <w:rFonts w:ascii="Gotham Black" w:hAnsi="Gotham Black"/>
                              <w:color w:val="DDD9C3" w:themeColor="background2" w:themeShade="E6"/>
                              <w:spacing w:val="80"/>
                              <w:sz w:val="72"/>
                              <w:szCs w:val="66"/>
                            </w:rPr>
                            <w:t>COMUNICADO DE PRENSA</w:t>
                          </w:r>
                        </w:p>
                        <w:p w14:paraId="0133CFF5" w14:textId="77777777" w:rsidR="004224D9" w:rsidRPr="004E4E55" w:rsidRDefault="004224D9" w:rsidP="00761617">
                          <w:pPr>
                            <w:rPr>
                              <w:spacing w:val="80"/>
                              <w:sz w:val="72"/>
                              <w:szCs w:val="66"/>
                            </w:rPr>
                          </w:pPr>
                        </w:p>
                        <w:p w14:paraId="3BBDAA4B" w14:textId="77777777" w:rsidR="004224D9" w:rsidRDefault="004224D9" w:rsidP="00761617"/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40.9pt;margin-top:45.95pt;width:99pt;height:59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" filled="f" stroked="f">
              <v:textbox style="layout-flow:vertical-ideographic">
                <w:txbxContent>
                  <w:p w14:paraId="121D1824" w14:textId="77777777" w:rsidR="00C73461" w:rsidRPr="004E4E55" w:rsidRDefault="00C73461" w:rsidP="00761617">
                    <w:pPr>
                      <w:rPr>
                        <w:rFonts w:ascii="Gotham Black" w:hAnsi="Gotham Black"/>
                        <w:color w:val="DDD9C3" w:themeColor="background2" w:themeShade="E6"/>
                        <w:spacing w:val="80"/>
                        <w:sz w:val="72"/>
                        <w:szCs w:val="66"/>
                      </w:rPr>
                    </w:pPr>
                    <w:r w:rsidRPr="004E4E55">
                      <w:rPr>
                        <w:rFonts w:ascii="Gotham Black" w:hAnsi="Gotham Black"/>
                        <w:color w:val="DDD9C3" w:themeColor="background2" w:themeShade="E6"/>
                        <w:spacing w:val="80"/>
                        <w:sz w:val="72"/>
                        <w:szCs w:val="66"/>
                      </w:rPr>
                      <w:t>COMUNICADO DE PRENSA</w:t>
                    </w:r>
                  </w:p>
                  <w:p w14:paraId="0133CFF5" w14:textId="77777777" w:rsidR="00C73461" w:rsidRPr="004E4E55" w:rsidRDefault="00C73461" w:rsidP="00761617">
                    <w:pPr>
                      <w:rPr>
                        <w:spacing w:val="80"/>
                        <w:sz w:val="72"/>
                        <w:szCs w:val="66"/>
                      </w:rPr>
                    </w:pPr>
                  </w:p>
                  <w:p w14:paraId="3BBDAA4B" w14:textId="77777777" w:rsidR="00C73461" w:rsidRDefault="00C73461" w:rsidP="00761617"/>
                </w:txbxContent>
              </v:textbox>
            </v:shape>
          </w:pict>
        </mc:Fallback>
      </mc:AlternateContent>
    </w:r>
    <w:r>
      <w:rPr>
        <w:rFonts w:ascii="Calibri" w:hAnsi="Calibri" w:cs="Times New Roman"/>
        <w:color w:val="808080" w:themeColor="background1" w:themeShade="80"/>
        <w:spacing w:val="20"/>
        <w:lang w:val="es-ES_tradnl"/>
      </w:rPr>
      <w:t>Junta de Calidad Ambiental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7254248"/>
    <w:multiLevelType w:val="hybridMultilevel"/>
    <w:tmpl w:val="17BAB1C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71009"/>
    <w:multiLevelType w:val="hybridMultilevel"/>
    <w:tmpl w:val="A4A03E64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>
    <w:nsid w:val="54BD109B"/>
    <w:multiLevelType w:val="hybridMultilevel"/>
    <w:tmpl w:val="8C74C98E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2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BA"/>
    <w:rsid w:val="000000D9"/>
    <w:rsid w:val="000634EE"/>
    <w:rsid w:val="000A1270"/>
    <w:rsid w:val="000B46BC"/>
    <w:rsid w:val="000C5593"/>
    <w:rsid w:val="0011611A"/>
    <w:rsid w:val="001679BC"/>
    <w:rsid w:val="001F22BA"/>
    <w:rsid w:val="002A59A2"/>
    <w:rsid w:val="002D5A8A"/>
    <w:rsid w:val="002F01AA"/>
    <w:rsid w:val="00304406"/>
    <w:rsid w:val="00355C66"/>
    <w:rsid w:val="00364ABE"/>
    <w:rsid w:val="003865C4"/>
    <w:rsid w:val="003C4CA6"/>
    <w:rsid w:val="003C6D60"/>
    <w:rsid w:val="00407113"/>
    <w:rsid w:val="004224D9"/>
    <w:rsid w:val="0043514F"/>
    <w:rsid w:val="00436696"/>
    <w:rsid w:val="00450186"/>
    <w:rsid w:val="00450823"/>
    <w:rsid w:val="004D66EF"/>
    <w:rsid w:val="004E431A"/>
    <w:rsid w:val="005900DD"/>
    <w:rsid w:val="005E344B"/>
    <w:rsid w:val="005E4B16"/>
    <w:rsid w:val="006154C8"/>
    <w:rsid w:val="00635054"/>
    <w:rsid w:val="006554A3"/>
    <w:rsid w:val="0068436D"/>
    <w:rsid w:val="00684C9D"/>
    <w:rsid w:val="00685B9E"/>
    <w:rsid w:val="006C6835"/>
    <w:rsid w:val="006D70E1"/>
    <w:rsid w:val="00707907"/>
    <w:rsid w:val="00761617"/>
    <w:rsid w:val="00785367"/>
    <w:rsid w:val="007879C8"/>
    <w:rsid w:val="007969EA"/>
    <w:rsid w:val="007A5053"/>
    <w:rsid w:val="007C35EA"/>
    <w:rsid w:val="008136F2"/>
    <w:rsid w:val="00815995"/>
    <w:rsid w:val="008501EE"/>
    <w:rsid w:val="00861452"/>
    <w:rsid w:val="008E7EAE"/>
    <w:rsid w:val="00944F1F"/>
    <w:rsid w:val="009B3EE1"/>
    <w:rsid w:val="009F0FED"/>
    <w:rsid w:val="00A01C69"/>
    <w:rsid w:val="00A06BEA"/>
    <w:rsid w:val="00A217E4"/>
    <w:rsid w:val="00A52339"/>
    <w:rsid w:val="00A55433"/>
    <w:rsid w:val="00AC48F8"/>
    <w:rsid w:val="00AC566A"/>
    <w:rsid w:val="00AC7B79"/>
    <w:rsid w:val="00AD1B74"/>
    <w:rsid w:val="00AD27A0"/>
    <w:rsid w:val="00B430DA"/>
    <w:rsid w:val="00BF7AF9"/>
    <w:rsid w:val="00C0500F"/>
    <w:rsid w:val="00C73461"/>
    <w:rsid w:val="00C91870"/>
    <w:rsid w:val="00CB0B4B"/>
    <w:rsid w:val="00CC58C8"/>
    <w:rsid w:val="00CC67FA"/>
    <w:rsid w:val="00CE16EA"/>
    <w:rsid w:val="00D12A62"/>
    <w:rsid w:val="00D14A17"/>
    <w:rsid w:val="00D22A22"/>
    <w:rsid w:val="00D37B10"/>
    <w:rsid w:val="00D90D78"/>
    <w:rsid w:val="00DB4C2C"/>
    <w:rsid w:val="00DC0202"/>
    <w:rsid w:val="00DC5332"/>
    <w:rsid w:val="00DF5C14"/>
    <w:rsid w:val="00DF5CF1"/>
    <w:rsid w:val="00E00BF4"/>
    <w:rsid w:val="00E307D7"/>
    <w:rsid w:val="00E3623C"/>
    <w:rsid w:val="00E43AEC"/>
    <w:rsid w:val="00E46216"/>
    <w:rsid w:val="00E640AF"/>
    <w:rsid w:val="00E64603"/>
    <w:rsid w:val="00EB44EA"/>
    <w:rsid w:val="00EF641F"/>
    <w:rsid w:val="00F31490"/>
    <w:rsid w:val="00F72E7A"/>
    <w:rsid w:val="00F877E1"/>
    <w:rsid w:val="00F928D6"/>
    <w:rsid w:val="00FA01F0"/>
    <w:rsid w:val="00FA0D11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AE662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2B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F2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2BA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1F2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2BA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2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2BA"/>
    <w:rPr>
      <w:rFonts w:ascii="Lucida Grande" w:eastAsiaTheme="minorHAnsi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5C66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C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55C66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5C66"/>
    <w:pPr>
      <w:ind w:left="720"/>
      <w:contextualSpacing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2B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F2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2BA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1F2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2BA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2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2BA"/>
    <w:rPr>
      <w:rFonts w:ascii="Lucida Grande" w:eastAsiaTheme="minorHAnsi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5C66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C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55C66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5C66"/>
    <w:pPr>
      <w:ind w:left="720"/>
      <w:contextualSpacing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428</Words>
  <Characters>2442</Characters>
  <Application>Microsoft Macintosh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José Díaz Díaz</dc:creator>
  <cp:keywords/>
  <dc:description/>
  <cp:lastModifiedBy>Juan José Diaz Díaz</cp:lastModifiedBy>
  <cp:revision>81</cp:revision>
  <cp:lastPrinted>2018-03-16T11:30:00Z</cp:lastPrinted>
  <dcterms:created xsi:type="dcterms:W3CDTF">2017-02-11T01:30:00Z</dcterms:created>
  <dcterms:modified xsi:type="dcterms:W3CDTF">2018-03-16T12:35:00Z</dcterms:modified>
</cp:coreProperties>
</file>